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B8761F"/>
          <w:spacing w:val="60"/>
          <w:sz w:val="18"/>
          <w:szCs w:val="18"/>
        </w:rPr>
        <w:t xml:space="preserve">CROSSWORLDS</w:t>
      </w:r>
    </w:p>
    <w:p>
      <w:pPr>
        <w:spacing w:after="300"/>
      </w:pPr>
      <w:r>
        <w:rPr>
          <w:rFonts w:ascii="Calibri" w:cs="Calibri" w:eastAsia="Calibri" w:hAnsi="Calibri"/>
          <w:color w:val="535C69"/>
          <w:sz w:val="19"/>
          <w:szCs w:val="19"/>
        </w:rPr>
        <w:t xml:space="preserve">Independent onchain research and advisory</w:t>
      </w:r>
    </w:p>
    <w:p>
      <w:pPr>
        <w:spacing w:after="80"/>
      </w:pPr>
      <w:r>
        <w:rPr>
          <w:rFonts w:ascii="Georgia" w:cs="Georgia" w:eastAsia="Georgia" w:hAnsi="Georgia"/>
          <w:b/>
          <w:bCs/>
          <w:color w:val="14181D"/>
          <w:sz w:val="44"/>
          <w:szCs w:val="44"/>
        </w:rPr>
        <w:t xml:space="preserve">Asset Rating Questionnaire</w:t>
      </w:r>
    </w:p>
    <w:p>
      <w:pPr>
        <w:spacing w:after="340"/>
      </w:pPr>
      <w:r>
        <w:rPr>
          <w:rFonts w:ascii="Calibri" w:cs="Calibri" w:eastAsia="Calibri" w:hAnsi="Calibri"/>
          <w:color w:val="535C69"/>
          <w:sz w:val="22"/>
          <w:szCs w:val="22"/>
        </w:rPr>
        <w:t xml:space="preserve">Due-diligence input for collateral onboarding</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Field</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Value</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Project / protocol name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Asset (token) submitted for review</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Token contract address and chain</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Project website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Documentation URL</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Primary point of contact (name, email, Telegram)</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Date of submission (YYYY-MM-DD)</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Submission version</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r>
        <w:br w:type="page"/>
      </w:r>
    </w:p>
    <w:p>
      <w:pPr>
        <w:pStyle w:val="Heading1"/>
        <w:spacing w:after="160" w:before="360"/>
      </w:pPr>
      <w:r>
        <w:rPr>
          <w:rFonts w:ascii="Georgia" w:cs="Georgia" w:eastAsia="Georgia" w:hAnsi="Georgia"/>
          <w:b/>
          <w:bCs/>
          <w:color w:val="14181D"/>
          <w:sz w:val="30"/>
          <w:szCs w:val="30"/>
        </w:rPr>
        <w:t xml:space="preserve">Purpose and how to use this document</w:t>
      </w:r>
    </w:p>
    <w:p>
      <w:pPr>
        <w:spacing w:after="120" w:before="0"/>
      </w:pPr>
      <w:r>
        <w:rPr>
          <w:rFonts w:ascii="Calibri" w:cs="Calibri" w:eastAsia="Calibri" w:hAnsi="Calibri"/>
          <w:color w:val="535C69"/>
          <w:sz w:val="20"/>
          <w:szCs w:val="20"/>
        </w:rPr>
        <w:t xml:space="preserve">This questionnaire is sent to projects that wish their asset to be assessed by CrossWorlds as collateral in a curated lending market. Your answers feed the Asset Rating layer of our framework, across three pillars: Issuer (Social, Decentralisation), Asset and token (Technical, Reserves, Asset class) and Operational risk (Lindy, TVL, Audits, Bug bounty, External ratings, Peer reviews).</w:t>
      </w:r>
    </w:p>
    <w:p>
      <w:pPr>
        <w:spacing w:after="120" w:before="0"/>
      </w:pPr>
      <w:r>
        <w:rPr>
          <w:rFonts w:ascii="Calibri" w:cs="Calibri" w:eastAsia="Calibri" w:hAnsi="Calibri"/>
          <w:color w:val="535C69"/>
          <w:sz w:val="20"/>
          <w:szCs w:val="20"/>
        </w:rPr>
        <w:t xml:space="preserve">Please answer every question. If one does not apply, write "N/A" with a one-line justification. We strongly prefer machine-readable primary sources — contract addresses, transaction hashes, audit PDFs, public dashboards — over marketing material. Vague or unverifiable answers lower the grade of the criterion concerned.</w:t>
      </w:r>
    </w:p>
    <w:p>
      <w:pPr>
        <w:spacing w:after="120" w:before="0"/>
      </w:pPr>
      <w:r>
        <w:rPr>
          <w:rFonts w:ascii="Calibri" w:cs="Calibri" w:eastAsia="Calibri" w:hAnsi="Calibri"/>
          <w:color w:val="535C69"/>
          <w:sz w:val="20"/>
          <w:szCs w:val="20"/>
        </w:rPr>
        <w:t xml:space="preserve">Sections marked with a star are mandatory. The rest are optional but produce a more accurate rating. If a section is irrelevant to your asset class, say so explicitly.</w:t>
      </w:r>
    </w:p>
    <w:p>
      <w:pPr>
        <w:pBdr>
          <w:left w:val="single" w:color="B8761F" w:sz="12" w:space="10"/>
        </w:pBdr>
        <w:spacing w:after="140"/>
        <w:ind w:left="160"/>
      </w:pPr>
      <w:r>
        <w:rPr>
          <w:rFonts w:ascii="Calibri" w:cs="Calibri" w:eastAsia="Calibri" w:hAnsi="Calibri"/>
          <w:i/>
          <w:iCs/>
          <w:color w:val="535C69"/>
          <w:sz w:val="19"/>
          <w:szCs w:val="19"/>
        </w:rPr>
        <w:t xml:space="preserve">We publish our assessments, including unfavourable ones. If parts of Section 1 are commercially or personally sensitive, tick the confidentiality box at the end of that section: we will then verify the information privately and the published assessment will state that it was verified without reproducing the detail.</w:t>
      </w:r>
    </w:p>
    <w:p>
      <w:pPr>
        <w:pBdr>
          <w:left w:val="single" w:color="B8761F" w:sz="12" w:space="10"/>
        </w:pBdr>
        <w:spacing w:after="140"/>
        <w:ind w:left="160"/>
      </w:pPr>
      <w:r>
        <w:rPr>
          <w:rFonts w:ascii="Calibri" w:cs="Calibri" w:eastAsia="Calibri" w:hAnsi="Calibri"/>
          <w:i/>
          <w:iCs/>
          <w:color w:val="535C69"/>
          <w:sz w:val="19"/>
          <w:szCs w:val="19"/>
        </w:rPr>
        <w:t xml:space="preserve">Please do not send identity documents. We are not a regulated financial institution, we have no KYC obligation towards you, and we do not want to hold your passport. Verifiable public profiles and a company registration number are what we need.</w:t>
      </w:r>
    </w:p>
    <w:p>
      <w:pPr>
        <w:spacing w:after="120" w:before="0"/>
      </w:pPr>
      <w:r>
        <w:rPr>
          <w:rFonts w:ascii="Calibri" w:cs="Calibri" w:eastAsia="Calibri" w:hAnsi="Calibri"/>
          <w:b/>
          <w:bCs/>
          <w:color w:val="14181D"/>
          <w:sz w:val="20"/>
          <w:szCs w:val="20"/>
        </w:rPr>
        <w:t xml:space="preserve">Send the completed document to submissions@crossworlds.fi. We reply within one week, whether the answer is yes or no.</w:t>
      </w:r>
    </w:p>
    <w:p>
      <w:pPr>
        <w:pStyle w:val="Heading1"/>
        <w:spacing w:after="160" w:before="360"/>
      </w:pPr>
      <w:r>
        <w:rPr>
          <w:rFonts w:ascii="Georgia" w:cs="Georgia" w:eastAsia="Georgia" w:hAnsi="Georgia"/>
          <w:b/>
          <w:bCs/>
          <w:color w:val="14181D"/>
          <w:sz w:val="30"/>
          <w:szCs w:val="30"/>
        </w:rPr>
        <w:t xml:space="preserve">Section 1 — Issuer pillar ★</w:t>
      </w:r>
    </w:p>
    <w:p>
      <w:pPr>
        <w:pBdr>
          <w:left w:val="single" w:color="B8761F" w:sz="12" w:space="10"/>
        </w:pBdr>
        <w:spacing w:after="140"/>
        <w:ind w:left="160"/>
      </w:pPr>
      <w:r>
        <w:rPr>
          <w:rFonts w:ascii="Calibri" w:cs="Calibri" w:eastAsia="Calibri" w:hAnsi="Calibri"/>
          <w:i/>
          <w:iCs/>
          <w:color w:val="535C69"/>
          <w:sz w:val="19"/>
          <w:szCs w:val="19"/>
        </w:rPr>
        <w:t xml:space="preserve">This section carries the most weight. An issuer we cannot identify is an issuer we cannot grade, whatever the quality of the asset.</w:t>
      </w:r>
    </w:p>
    <w:p>
      <w:pPr>
        <w:pStyle w:val="Heading2"/>
        <w:spacing w:after="120" w:before="260"/>
      </w:pPr>
      <w:r>
        <w:rPr>
          <w:rFonts w:ascii="Georgia" w:cs="Georgia" w:eastAsia="Georgia" w:hAnsi="Georgia"/>
          <w:b/>
          <w:bCs/>
          <w:color w:val="14181D"/>
          <w:sz w:val="24"/>
          <w:szCs w:val="24"/>
        </w:rPr>
        <w:t xml:space="preserve">1.1 Issuer identity</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Field</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Legal entity name (full)</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Legal form (foundation, association, LLC, DAO without entity, …)</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Country of incorporation or registration</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Year of incorporation</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Registered address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Company registration number (the number that lets us look you up in your national register)</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If there is no legal entity: name of the main contributor entity that operates the protocol</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Operating treasury wallet(s)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Link to public legal or transparency disclosures, if any</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1.2 Team ★</w:t>
      </w:r>
    </w:p>
    <w:p>
      <w:pPr>
        <w:spacing w:after="120" w:before="0"/>
      </w:pPr>
      <w:r>
        <w:rPr>
          <w:rFonts w:ascii="Calibri" w:cs="Calibri" w:eastAsia="Calibri" w:hAnsi="Calibri"/>
          <w:i/>
          <w:iCs/>
          <w:color w:val="535C69"/>
          <w:sz w:val="20"/>
          <w:szCs w:val="20"/>
        </w:rPr>
        <w:t xml:space="preserve">List every person with operational control over the protocol or admin keys. Anonymous contributors are accepted but must be flagged as such. We expect at least the founders and the technical lead to be publicly identifiable.</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1560"/>
        <w:gridCol w:w="1560"/>
        <w:gridCol w:w="1560"/>
        <w:gridCol w:w="1560"/>
        <w:gridCol w:w="1560"/>
        <w:gridCol w:w="1560"/>
      </w:tblGrid>
      <w:tr>
        <w:trPr>
          <w:tblHeader/>
        </w:trPr>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Full name</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Role</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Publicly identifiable?</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Years in DeFi</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Public profile (LinkedIn / GitHub / X)</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Previous projects</w:t>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1.3 Investors and capital structure</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1872"/>
        <w:gridCol w:w="1872"/>
        <w:gridCol w:w="1872"/>
        <w:gridCol w:w="1872"/>
        <w:gridCol w:w="1872"/>
      </w:tblGrid>
      <w:tr>
        <w:trPr>
          <w:tblHeader/>
        </w:trPr>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Investor / round</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Date</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Amount raised</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Token allocation (% of supply, vesting)</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Public announcement</w:t>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spacing w:after="120" w:before="0"/>
      </w:pPr>
      <w:r>
        <w:rPr>
          <w:rFonts w:ascii="Calibri" w:cs="Calibri" w:eastAsia="Calibri" w:hAnsi="Calibri"/>
          <w:i/>
          <w:iCs/>
          <w:color w:val="535C69"/>
          <w:sz w:val="20"/>
          <w:szCs w:val="20"/>
        </w:rPr>
        <w:t xml:space="preserve">If there is no token investor — bootstrapped or DAO-issued — note it explicitly.</w:t>
      </w:r>
    </w:p>
    <w:p>
      <w:pPr>
        <w:pStyle w:val="Heading2"/>
        <w:spacing w:after="120" w:before="260"/>
      </w:pPr>
      <w:r>
        <w:rPr>
          <w:rFonts w:ascii="Georgia" w:cs="Georgia" w:eastAsia="Georgia" w:hAnsi="Georgia"/>
          <w:b/>
          <w:bCs/>
          <w:color w:val="14181D"/>
          <w:sz w:val="24"/>
          <w:szCs w:val="24"/>
        </w:rPr>
        <w:t xml:space="preserve">1.4 Decentralisation and governance</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Does your protocol have a governance token? Name and contract address.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Where does voting power sit? Give the ten largest voters with addresses and share, ideally a link to a public dashboard.</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Is governance fully onchain, offchain (Snapshot only), or hybrid? Describe the execution path.</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is the typical timelock between a proposal passing and taking effect, in hours?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is the average voter participation rate over the last six months?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share of voting power is controlled by the team and its known affiliates? Under-disclosure here is a red flag.</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Describe the worst plausible governance attack on your protocol and what it would cost to execute.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protects depositors in case of governance capture (guardians, dual governance, opt-out, time-delayed migrations)?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Do you operate an emergency multisig? Signers, threshold, scope of powers, and any timelock that applies.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Are emergency powers limited to reducing risk (pause, lower caps), or can they increase it (raise caps, change collateral)?</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1.5 Confidentiality of this section</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Yes / No</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Do you ask that the answers in Section 1 be treated as confidential? If yes, the published assessment will state that issuer identity and governance were verified privately, without reproducing the detail. Everything else in this questionnaire remains publishable.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r>
        <w:br w:type="page"/>
      </w:r>
    </w:p>
    <w:p>
      <w:pPr>
        <w:pStyle w:val="Heading1"/>
        <w:spacing w:after="160" w:before="360"/>
      </w:pPr>
      <w:r>
        <w:rPr>
          <w:rFonts w:ascii="Georgia" w:cs="Georgia" w:eastAsia="Georgia" w:hAnsi="Georgia"/>
          <w:b/>
          <w:bCs/>
          <w:color w:val="14181D"/>
          <w:sz w:val="30"/>
          <w:szCs w:val="30"/>
        </w:rPr>
        <w:t xml:space="preserve">Section 2 — Asset and token pillar ★</w:t>
      </w:r>
    </w:p>
    <w:p>
      <w:pPr>
        <w:pStyle w:val="Heading2"/>
        <w:spacing w:after="120" w:before="260"/>
      </w:pPr>
      <w:r>
        <w:rPr>
          <w:rFonts w:ascii="Georgia" w:cs="Georgia" w:eastAsia="Georgia" w:hAnsi="Georgia"/>
          <w:b/>
          <w:bCs/>
          <w:color w:val="14181D"/>
          <w:sz w:val="24"/>
          <w:szCs w:val="24"/>
        </w:rPr>
        <w:t xml:space="preserve">2.1 Asset overview</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Field</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Asset class (fully-backed stablecoin, CDP stablecoin, LST, LRT, RWA, credit fund, yield-bearing wrapper, LP token, …)</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Underlying or backing assets, with proportions where applicable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Total supply at submission date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Market cap at submission date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Date of mainnet deployment</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Chains where the asset is canonical or bridged, and which bridge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Is the asset rebasing, accruing via pricePerShare, or a fixed unit?</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is the redemption mechanism? Direct, market-only, queued, capped per period, pausable?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2.2 Smart contract inventory ★</w:t>
      </w:r>
    </w:p>
    <w:p>
      <w:pPr>
        <w:spacing w:after="120" w:before="0"/>
      </w:pPr>
      <w:r>
        <w:rPr>
          <w:rFonts w:ascii="Calibri" w:cs="Calibri" w:eastAsia="Calibri" w:hAnsi="Calibri"/>
          <w:i/>
          <w:iCs/>
          <w:color w:val="535C69"/>
          <w:sz w:val="20"/>
          <w:szCs w:val="20"/>
        </w:rPr>
        <w:t xml:space="preserve">List every contract that participates in the asset lifecycle: token, vault, controller, oracle, fee splitter, rewards handler, peg-keeper, emergency module. We need this map to score the Lindy criterion.</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1170"/>
        <w:gridCol w:w="1170"/>
        <w:gridCol w:w="1170"/>
        <w:gridCol w:w="1170"/>
        <w:gridCol w:w="1170"/>
        <w:gridCol w:w="1170"/>
        <w:gridCol w:w="1170"/>
        <w:gridCol w:w="1170"/>
      </w:tblGrid>
      <w:tr>
        <w:trPr>
          <w:tblHeader/>
        </w:trPr>
        <w:tc>
          <w:tcPr>
            <w:tcW w:type="dxa" w:w="117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Role</w:t>
            </w:r>
          </w:p>
        </w:tc>
        <w:tc>
          <w:tcPr>
            <w:tcW w:type="dxa" w:w="117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Contract address</w:t>
            </w:r>
          </w:p>
        </w:tc>
        <w:tc>
          <w:tcPr>
            <w:tcW w:type="dxa" w:w="117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Chain</w:t>
            </w:r>
          </w:p>
        </w:tc>
        <w:tc>
          <w:tcPr>
            <w:tcW w:type="dxa" w:w="117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Deploy date</w:t>
            </w:r>
          </w:p>
        </w:tc>
        <w:tc>
          <w:tcPr>
            <w:tcW w:type="dxa" w:w="117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Last material change</w:t>
            </w:r>
          </w:p>
        </w:tc>
        <w:tc>
          <w:tcPr>
            <w:tcW w:type="dxa" w:w="117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Upgradable?</w:t>
            </w:r>
          </w:p>
        </w:tc>
        <w:tc>
          <w:tcPr>
            <w:tcW w:type="dxa" w:w="117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Admin (and timelock)</w:t>
            </w:r>
          </w:p>
        </w:tc>
        <w:tc>
          <w:tcPr>
            <w:tcW w:type="dxa" w:w="117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Source code</w:t>
            </w:r>
          </w:p>
        </w:tc>
      </w:tr>
      <w:tr>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17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spacing w:after="120" w:before="0"/>
      </w:pPr>
      <w:r>
        <w:rPr>
          <w:rFonts w:ascii="Calibri" w:cs="Calibri" w:eastAsia="Calibri" w:hAnsi="Calibri"/>
          <w:i/>
          <w:iCs/>
          <w:color w:val="535C69"/>
          <w:sz w:val="20"/>
          <w:szCs w:val="20"/>
        </w:rPr>
        <w:t xml:space="preserve">"Last material change" means a code upgrade, a parameter change that materially affects risk (debt ceiling, oracle source, rate model), or an admin role re-assignment. Ignore cosmetic changes.</w:t>
      </w:r>
    </w:p>
    <w:p>
      <w:pPr>
        <w:pStyle w:val="Heading2"/>
        <w:spacing w:after="120" w:before="260"/>
      </w:pPr>
      <w:r>
        <w:rPr>
          <w:rFonts w:ascii="Georgia" w:cs="Georgia" w:eastAsia="Georgia" w:hAnsi="Georgia"/>
          <w:b/>
          <w:bCs/>
          <w:color w:val="14181D"/>
          <w:sz w:val="24"/>
          <w:szCs w:val="24"/>
        </w:rPr>
        <w:t xml:space="preserve">2.3 Recent changes to the risk profile ★</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When was the last change that affected the risk profile of this asset? Give the date and what changed — a code upgrade, a new version, a change of collateral, of oracle, or of admin structure. If nothing has changed since deployment, say so and give the deployment date.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2.4 Admin capabilities and operational security ★</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For each privileged role in the inventory above: holder address, key type (EOA, multisig, governance timelock), and multisig threshold.</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Can any admin action affect existing depositors — mint, burn from holder, pause withdrawals, blacklist, force-redeem? List them with the role and timelock.</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Are admin keys held in hardware wallets? Which?</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Are signers geographically distributed? Across how many jurisdictions and time zones?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is your incident-response procedure? Escalation, on-call coverage, average response time to a critical issue.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Have you run a tabletop exercise simulating an admin-key compromise in the last twelve months? What was the outcome?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Are signers required to use phishing-resistant authentication on all admin-related accounts?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Do you have an established procedure to rotate signers?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Have any signers previously been involved in a security incident at another protocol?</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Does any admin function bypass the standard timelock? List them and explain the rationale.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2.5 Attack surface ★</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could possibly go wrong? Describe the attack vectors you have identified on your own protocol, and what mitigates each one. A candid answer here raises our confidence more than any audit report. An answer of "nothing" lowers it.</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is your cross-chain set-up? Which bridges the asset relies on, who controls them, the admin structure on each chain, and whether supply on one chain is redeemable against the others. Write "single chain" if that is the case.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2.6 Reserves auditability</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For backed assets: are reserves visible onchain? Give a public dashboard URL.</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share of reserves is onchain versus offchain (custodian, T-bills, …)?</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For offchain reserves: which custodians? Latest attestation report and frequency.</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Are reserves over-collateralised? By what factor, and where is the buffer documented?</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For CDP-style assets: current global collateral ratio, liquidation framework, monitoring dashboards.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For RWA-backed assets: issuer, legal jurisdiction of the SPV, and any insurance coverage.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Are reserves instantly redeemable, queued (with what queue length under stress), or only redeemable through market sales?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r>
        <w:br w:type="page"/>
      </w:r>
    </w:p>
    <w:p>
      <w:pPr>
        <w:pStyle w:val="Heading1"/>
        <w:spacing w:after="160" w:before="360"/>
      </w:pPr>
      <w:r>
        <w:rPr>
          <w:rFonts w:ascii="Georgia" w:cs="Georgia" w:eastAsia="Georgia" w:hAnsi="Georgia"/>
          <w:b/>
          <w:bCs/>
          <w:color w:val="14181D"/>
          <w:sz w:val="30"/>
          <w:szCs w:val="30"/>
        </w:rPr>
        <w:t xml:space="preserve">Section 3 — Operational risk pillar ★</w:t>
      </w:r>
    </w:p>
    <w:p>
      <w:pPr>
        <w:pStyle w:val="Heading2"/>
        <w:spacing w:after="120" w:before="260"/>
      </w:pPr>
      <w:r>
        <w:rPr>
          <w:rFonts w:ascii="Georgia" w:cs="Georgia" w:eastAsia="Georgia" w:hAnsi="Georgia"/>
          <w:b/>
          <w:bCs/>
          <w:color w:val="14181D"/>
          <w:sz w:val="24"/>
          <w:szCs w:val="24"/>
        </w:rPr>
        <w:t xml:space="preserve">3.1 Lindy and ecosystem history</w:t>
      </w:r>
    </w:p>
    <w:p>
      <w:pPr>
        <w:spacing w:after="120" w:before="0"/>
      </w:pPr>
      <w:r>
        <w:rPr>
          <w:rFonts w:ascii="Calibri" w:cs="Calibri" w:eastAsia="Calibri" w:hAnsi="Calibri"/>
          <w:i/>
          <w:iCs/>
          <w:color w:val="535C69"/>
          <w:sz w:val="20"/>
          <w:szCs w:val="20"/>
        </w:rPr>
        <w:t xml:space="preserve">Beyond the contract inventory, give a chronological list of material changes in the connected ecosystem that affected the risk profile of the asset over the last twenty-four months: a new collateral type, a change of monetary policy, a new minting source, a change in fee distribution, an expansion of an emergency multisig scope.</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1872"/>
        <w:gridCol w:w="1872"/>
        <w:gridCol w:w="1872"/>
        <w:gridCol w:w="1872"/>
        <w:gridCol w:w="1872"/>
      </w:tblGrid>
      <w:tr>
        <w:trPr>
          <w:tblHeader/>
        </w:trPr>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Date</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Element changed</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Nature of change</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Risk impact</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Reference (forum / tx / PR)</w:t>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3.2 Audits ★</w:t>
      </w:r>
    </w:p>
    <w:p>
      <w:pPr>
        <w:spacing w:after="120" w:before="0"/>
      </w:pPr>
      <w:r>
        <w:rPr>
          <w:rFonts w:ascii="Calibri" w:cs="Calibri" w:eastAsia="Calibri" w:hAnsi="Calibri"/>
          <w:i/>
          <w:iCs/>
          <w:color w:val="535C69"/>
          <w:sz w:val="20"/>
          <w:szCs w:val="20"/>
        </w:rPr>
        <w:t xml:space="preserve">List only the audits that cover the codebase currently in production. Include audits on inherited code — a fork of a Yearn V3 vault, for instance — but state clearly which version was audited if it differs from what is deployed.</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1560"/>
        <w:gridCol w:w="1560"/>
        <w:gridCol w:w="1560"/>
        <w:gridCol w:w="1560"/>
        <w:gridCol w:w="1560"/>
        <w:gridCol w:w="1560"/>
      </w:tblGrid>
      <w:tr>
        <w:trPr>
          <w:tblHeader/>
        </w:trPr>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Auditor</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Date</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Scope (contracts and version)</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Report link</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Critical / High / Medium / Low</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Open findings and status</w:t>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ListParagraph"/>
        <w:numPr>
          <w:ilvl w:val="0"/>
          <w:numId w:val="2"/>
        </w:numPr>
        <w:spacing w:after="80"/>
      </w:pPr>
      <w:r>
        <w:rPr>
          <w:rFonts w:ascii="Calibri" w:cs="Calibri" w:eastAsia="Calibri" w:hAnsi="Calibri"/>
          <w:color w:val="535C69"/>
          <w:sz w:val="20"/>
          <w:szCs w:val="20"/>
        </w:rPr>
        <w:t xml:space="preserve">If the production version differs from the audited version, explain what changed and how the change was reviewed. We will find out anyway, and telling us first counts in your favour.</w:t>
      </w:r>
    </w:p>
    <w:p>
      <w:pPr>
        <w:pStyle w:val="ListParagraph"/>
        <w:numPr>
          <w:ilvl w:val="0"/>
          <w:numId w:val="2"/>
        </w:numPr>
        <w:spacing w:after="80"/>
      </w:pPr>
      <w:r>
        <w:rPr>
          <w:rFonts w:ascii="Calibri" w:cs="Calibri" w:eastAsia="Calibri" w:hAnsi="Calibri"/>
          <w:color w:val="535C69"/>
          <w:sz w:val="20"/>
          <w:szCs w:val="20"/>
        </w:rPr>
        <w:t xml:space="preserve">"Acknowledged" is not "fixed". For each acknowledged-without-fix Critical or High finding, justify the design choice.</w:t>
      </w:r>
    </w:p>
    <w:p>
      <w:pPr>
        <w:pStyle w:val="ListParagraph"/>
        <w:numPr>
          <w:ilvl w:val="0"/>
          <w:numId w:val="2"/>
        </w:numPr>
        <w:spacing w:after="80"/>
      </w:pPr>
      <w:r>
        <w:rPr>
          <w:rFonts w:ascii="Calibri" w:cs="Calibri" w:eastAsia="Calibri" w:hAnsi="Calibri"/>
          <w:color w:val="535C69"/>
          <w:sz w:val="20"/>
          <w:szCs w:val="20"/>
        </w:rPr>
        <w:t xml:space="preserve">Sherlock or Cantina contests count as audits. Give the contest URL and the findings page.</w:t>
      </w:r>
    </w:p>
    <w:p>
      <w:pPr>
        <w:pStyle w:val="Heading2"/>
        <w:spacing w:after="120" w:before="260"/>
      </w:pPr>
      <w:r>
        <w:rPr>
          <w:rFonts w:ascii="Georgia" w:cs="Georgia" w:eastAsia="Georgia" w:hAnsi="Georgia"/>
          <w:b/>
          <w:bCs/>
          <w:color w:val="14181D"/>
          <w:sz w:val="24"/>
          <w:szCs w:val="24"/>
        </w:rPr>
        <w:t xml:space="preserve">3.3 Bug bounty ★</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Do you run an active bug bounty programme? On which platform?</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Link to the programme page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Maximum payout for a Critical finding, in USD</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Tiered payout schedule for Critical / High / Medium / Low</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Scope: contracts and chains covered, with a link</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Valid submissions paid out in the last twelve months: count and total</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Is a responsible disclosure policy published? Give the URL.</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Average time to triage and to payout for valid Critical submissions in the last twelve months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3.4 External ratings</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2340"/>
        <w:gridCol w:w="2340"/>
        <w:gridCol w:w="2340"/>
        <w:gridCol w:w="2340"/>
      </w:tblGrid>
      <w:tr>
        <w:trPr>
          <w:tblHeader/>
        </w:trPr>
        <w:tc>
          <w:tcPr>
            <w:tcW w:type="dxa" w:w="234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Rating provider</w:t>
            </w:r>
          </w:p>
        </w:tc>
        <w:tc>
          <w:tcPr>
            <w:tcW w:type="dxa" w:w="234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Score or grade</w:t>
            </w:r>
          </w:p>
        </w:tc>
        <w:tc>
          <w:tcPr>
            <w:tcW w:type="dxa" w:w="234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Date</w:t>
            </w:r>
          </w:p>
        </w:tc>
        <w:tc>
          <w:tcPr>
            <w:tcW w:type="dxa" w:w="234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URL of the public report</w:t>
            </w:r>
          </w:p>
        </w:tc>
      </w:tr>
      <w:tr>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234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spacing w:after="120" w:before="0"/>
      </w:pPr>
      <w:r>
        <w:rPr>
          <w:rFonts w:ascii="Calibri" w:cs="Calibri" w:eastAsia="Calibri" w:hAnsi="Calibri"/>
          <w:i/>
          <w:iCs/>
          <w:color w:val="535C69"/>
          <w:sz w:val="20"/>
          <w:szCs w:val="20"/>
        </w:rPr>
        <w:t xml:space="preserve">We disregard rating providers that have a paid commercial relationship with your project. Please disclose any such relationship.</w:t>
      </w:r>
    </w:p>
    <w:p>
      <w:pPr>
        <w:pStyle w:val="Heading2"/>
        <w:spacing w:after="120" w:before="260"/>
      </w:pPr>
      <w:r>
        <w:rPr>
          <w:rFonts w:ascii="Georgia" w:cs="Georgia" w:eastAsia="Georgia" w:hAnsi="Georgia"/>
          <w:b/>
          <w:bCs/>
          <w:color w:val="14181D"/>
          <w:sz w:val="24"/>
          <w:szCs w:val="24"/>
        </w:rPr>
        <w:t xml:space="preserve">3.5 Peer reviews and integrations</w:t>
      </w:r>
    </w:p>
    <w:p>
      <w:pPr>
        <w:spacing w:after="120" w:before="0"/>
      </w:pPr>
      <w:r>
        <w:rPr>
          <w:rFonts w:ascii="Calibri" w:cs="Calibri" w:eastAsia="Calibri" w:hAnsi="Calibri"/>
          <w:i/>
          <w:iCs/>
          <w:color w:val="535C69"/>
          <w:sz w:val="20"/>
          <w:szCs w:val="20"/>
        </w:rPr>
        <w:t xml:space="preserve">List every external curator or risk team that has independently reviewed and accepted your asset as collateral. We weight independent peer adoption heavily.</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1560"/>
        <w:gridCol w:w="1560"/>
        <w:gridCol w:w="1560"/>
        <w:gridCol w:w="1560"/>
        <w:gridCol w:w="1560"/>
        <w:gridCol w:w="1560"/>
      </w:tblGrid>
      <w:tr>
        <w:trPr>
          <w:tblHeader/>
        </w:trPr>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Curator / risk team</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Protocol where the asset is collateral</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Cap</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LLTV</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Date of onboarding</w:t>
            </w:r>
          </w:p>
        </w:tc>
        <w:tc>
          <w:tcPr>
            <w:tcW w:type="dxa" w:w="1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Reference</w:t>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5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3.6 Incidents and post-mortems</w:t>
      </w:r>
    </w:p>
    <w:p>
      <w:pPr>
        <w:spacing w:after="120" w:before="0"/>
      </w:pPr>
      <w:r>
        <w:rPr>
          <w:rFonts w:ascii="Calibri" w:cs="Calibri" w:eastAsia="Calibri" w:hAnsi="Calibri"/>
          <w:i/>
          <w:iCs/>
          <w:color w:val="535C69"/>
          <w:sz w:val="20"/>
          <w:szCs w:val="20"/>
        </w:rPr>
        <w:t xml:space="preserve">List every security incident, depeg or operational failure since launch, including incidents on protocols you depend on when they materially affected your asset. Honest disclosure is a strong positive signal, and non-disclosure is an automatic red flag.</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1872"/>
        <w:gridCol w:w="1872"/>
        <w:gridCol w:w="1872"/>
        <w:gridCol w:w="1872"/>
        <w:gridCol w:w="1872"/>
      </w:tblGrid>
      <w:tr>
        <w:trPr>
          <w:tblHeader/>
        </w:trPr>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Date</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Incident type</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Description</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User funds lost</w:t>
            </w:r>
          </w:p>
        </w:tc>
        <w:tc>
          <w:tcPr>
            <w:tcW w:type="dxa" w:w="1872"/>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Post-mortem URL</w:t>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c>
          <w:tcPr>
            <w:tcW w:type="dxa" w:w="1872"/>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r>
        <w:br w:type="page"/>
      </w:r>
    </w:p>
    <w:p>
      <w:pPr>
        <w:pStyle w:val="Heading1"/>
        <w:spacing w:after="160" w:before="360"/>
      </w:pPr>
      <w:r>
        <w:rPr>
          <w:rFonts w:ascii="Georgia" w:cs="Georgia" w:eastAsia="Georgia" w:hAnsi="Georgia"/>
          <w:b/>
          <w:bCs/>
          <w:color w:val="14181D"/>
          <w:sz w:val="30"/>
          <w:szCs w:val="30"/>
        </w:rPr>
        <w:t xml:space="preserve">Section 4 — Asset-class annex</w:t>
      </w:r>
    </w:p>
    <w:p>
      <w:pPr>
        <w:spacing w:after="120" w:before="0"/>
      </w:pPr>
      <w:r>
        <w:rPr>
          <w:rFonts w:ascii="Calibri" w:cs="Calibri" w:eastAsia="Calibri" w:hAnsi="Calibri"/>
          <w:i/>
          <w:iCs/>
          <w:color w:val="535C69"/>
          <w:sz w:val="20"/>
          <w:szCs w:val="20"/>
        </w:rPr>
        <w:t xml:space="preserve">Fill only the subsection that matches your asset class. Skip the others.</w:t>
      </w:r>
    </w:p>
    <w:p>
      <w:pPr>
        <w:pStyle w:val="Heading2"/>
        <w:spacing w:after="120" w:before="260"/>
      </w:pPr>
      <w:r>
        <w:rPr>
          <w:rFonts w:ascii="Georgia" w:cs="Georgia" w:eastAsia="Georgia" w:hAnsi="Georgia"/>
          <w:b/>
          <w:bCs/>
          <w:color w:val="14181D"/>
          <w:sz w:val="24"/>
          <w:szCs w:val="24"/>
        </w:rPr>
        <w:t xml:space="preserve">4.A Stablecoin</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Peg-keeping mechanism (PSM, peg-keepers, AMM, redemption)</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Maximum recorded peg deviation in the last twelve months, in basis points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Link to a dashboard showing the real-time backing ratio</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Principal mint markets: collateral types and current debt ceiling for each</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Is there a debt ceiling at asset level? Who can change it, under which timelock?</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Liquidation framework: LLTV ranges, liquidation incentive, soft-liquidation if any</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How is bad debt handled — dilution of holders, treasury absorption, insurance fund?</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4.B Yield-bearing wrapper</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Underlying asset and source of yield</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Yield distribution mechanism (rebase, pricePerShare growth, dual token, …)</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Is the wrapper based on a forked codebase? Name the original with its version, and describe your modifications.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Can pricePerShare decrease? Under what circumstances?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What prevents pricePerShare manipulation by donating tokens directly to the vault?</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Is the wrapper a proxy or immutable? If proxy: who can upgrade, under which timelock?</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Worst-case time for a full redemption at current liquidity</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4.C Liquid staking or restaking token</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Validator set: who runs the validators, and what is the operator concentration?</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How is slashing risk passed on to or mitigated for token holders?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Withdrawal queue: typical and worst-case wait time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Maximum recorded deviation from the underlying asset in the last twelve months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Fees: validator commission and protocol fee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For restaking tokens: every AVS or module, with its associated slashing risk</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4.D LP token</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Pool address and chain</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Pool type (StableSwap, CryptoSwap, constant product, concentrated, weighted, …)</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Amplification factor, and any planned ramping</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Pool fees, including the off-peg fee multiplier where applicable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Underlying assets, and the rating you would propose for each</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Impermanent loss under stress scenarios; provide a back-test if you have one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LP concentration: largest and top-five share, excluding protocol-owned liquidity</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2"/>
        <w:spacing w:after="120" w:before="260"/>
      </w:pPr>
      <w:r>
        <w:rPr>
          <w:rFonts w:ascii="Georgia" w:cs="Georgia" w:eastAsia="Georgia" w:hAnsi="Georgia"/>
          <w:b/>
          <w:bCs/>
          <w:color w:val="14181D"/>
          <w:sz w:val="24"/>
          <w:szCs w:val="24"/>
        </w:rPr>
        <w:t xml:space="preserve">4.E Real-world asset or credit fund</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Asset manager: legal entity, regulator, assets under management</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Custodian and sub-custodians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Underlying asset (T-bills, corporate credit, real estate, private credit, …)</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Eligibility and KYC: which jurisdictions, which user types?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Withdrawal procedure: settlement period, lock-up, gating provisions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Audit of the offchain asset manager: firm, date, report link</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Insurance coverage: provider, limits, exclusions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Bankruptcy remoteness: what protects holders if the manager fails?</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r>
        <w:br w:type="page"/>
      </w:r>
    </w:p>
    <w:p>
      <w:pPr>
        <w:pStyle w:val="Heading1"/>
        <w:spacing w:after="160" w:before="360"/>
      </w:pPr>
      <w:r>
        <w:rPr>
          <w:rFonts w:ascii="Georgia" w:cs="Georgia" w:eastAsia="Georgia" w:hAnsi="Georgia"/>
          <w:b/>
          <w:bCs/>
          <w:color w:val="14181D"/>
          <w:sz w:val="30"/>
          <w:szCs w:val="30"/>
        </w:rPr>
        <w:t xml:space="preserve">Section 5 — Anything else</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Answer</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Anything we should know that is not covered above? Known weaknesses included. We will find them anyway, and volunteering them helps you.</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pPr>
        <w:pStyle w:val="Heading1"/>
        <w:spacing w:after="160" w:before="360"/>
      </w:pPr>
      <w:r>
        <w:rPr>
          <w:rFonts w:ascii="Georgia" w:cs="Georgia" w:eastAsia="Georgia" w:hAnsi="Georgia"/>
          <w:b/>
          <w:bCs/>
          <w:color w:val="14181D"/>
          <w:sz w:val="30"/>
          <w:szCs w:val="30"/>
        </w:rPr>
        <w:t xml:space="preserve">Section 6 — Declaration</w:t>
      </w:r>
    </w:p>
    <w:p>
      <w:pPr>
        <w:spacing w:after="120" w:before="0"/>
      </w:pPr>
      <w:r>
        <w:rPr>
          <w:rFonts w:ascii="Calibri" w:cs="Calibri" w:eastAsia="Calibri" w:hAnsi="Calibri"/>
          <w:color w:val="535C69"/>
          <w:sz w:val="20"/>
          <w:szCs w:val="20"/>
        </w:rPr>
        <w:t xml:space="preserve">By submitting this questionnaire, the project confirms that the answers above are truthful and complete to the best of its knowledge as of the submission date, and undertakes to notify CrossWorlds of any material change within five business days.</w:t>
      </w:r>
    </w:p>
    <w:p>
      <w:pPr>
        <w:spacing w:after="120" w:before="0"/>
      </w:pPr>
      <w:r>
        <w:rPr>
          <w:rFonts w:ascii="Calibri" w:cs="Calibri" w:eastAsia="Calibri" w:hAnsi="Calibri"/>
          <w:color w:val="535C69"/>
          <w:sz w:val="20"/>
          <w:szCs w:val="20"/>
        </w:rPr>
        <w:t xml:space="preserve">The project understands that:</w:t>
      </w:r>
    </w:p>
    <w:p>
      <w:pPr>
        <w:pStyle w:val="ListParagraph"/>
        <w:numPr>
          <w:ilvl w:val="0"/>
          <w:numId w:val="2"/>
        </w:numPr>
        <w:spacing w:after="80"/>
      </w:pPr>
      <w:r>
        <w:rPr>
          <w:rFonts w:ascii="Calibri" w:cs="Calibri" w:eastAsia="Calibri" w:hAnsi="Calibri"/>
          <w:color w:val="535C69"/>
          <w:sz w:val="20"/>
          <w:szCs w:val="20"/>
        </w:rPr>
        <w:t xml:space="preserve">This questionnaire does not guarantee onboarding. It is one input into a broader risk assessment, and a low grade means no listing.</w:t>
      </w:r>
    </w:p>
    <w:p>
      <w:pPr>
        <w:pStyle w:val="ListParagraph"/>
        <w:numPr>
          <w:ilvl w:val="0"/>
          <w:numId w:val="2"/>
        </w:numPr>
        <w:spacing w:after="80"/>
      </w:pPr>
      <w:r>
        <w:rPr>
          <w:rFonts w:ascii="Calibri" w:cs="Calibri" w:eastAsia="Calibri" w:hAnsi="Calibri"/>
          <w:color w:val="535C69"/>
          <w:sz w:val="20"/>
          <w:szCs w:val="20"/>
        </w:rPr>
        <w:t xml:space="preserve">CrossWorlds publishes its assessments, including unfavourable ones, subject to any confidentiality requested in Section 1.5.</w:t>
      </w:r>
    </w:p>
    <w:p>
      <w:pPr>
        <w:pStyle w:val="ListParagraph"/>
        <w:numPr>
          <w:ilvl w:val="0"/>
          <w:numId w:val="2"/>
        </w:numPr>
        <w:spacing w:after="80"/>
      </w:pPr>
      <w:r>
        <w:rPr>
          <w:rFonts w:ascii="Calibri" w:cs="Calibri" w:eastAsia="Calibri" w:hAnsi="Calibri"/>
          <w:color w:val="535C69"/>
          <w:sz w:val="20"/>
          <w:szCs w:val="20"/>
        </w:rPr>
        <w:t xml:space="preserve">Materially false or misleading information is grounds for immediate de-listing if the asset has already been onboarded, and may be publicly disclosed.</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5900"/>
        <w:gridCol w:w="3460"/>
      </w:tblGrid>
      <w:tr>
        <w:trPr>
          <w:tblHeader/>
        </w:trPr>
        <w:tc>
          <w:tcPr>
            <w:tcW w:type="dxa" w:w="59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Field</w:t>
            </w:r>
          </w:p>
        </w:tc>
        <w:tc>
          <w:tcPr>
            <w:tcW w:type="dxa" w:w="34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Value</w:t>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Signed by (full name)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Role or title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Date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r>
        <w:tc>
          <w:tcPr>
            <w:tcW w:type="dxa" w:w="5900"/>
            <w:tcMar>
              <w:top w:type="dxa" w:w="90"/>
              <w:left w:type="dxa" w:w="120"/>
              <w:bottom w:type="dxa" w:w="90"/>
              <w:right w:type="dxa" w:w="120"/>
            </w:tcMar>
          </w:tcPr>
          <w:p>
            <w:r>
              <w:rPr>
                <w:rFonts w:ascii="Calibri" w:cs="Calibri" w:eastAsia="Calibri" w:hAnsi="Calibri"/>
                <w:b w:val="false"/>
                <w:bCs w:val="false"/>
                <w:color w:val="535C69"/>
                <w:sz w:val="19"/>
                <w:szCs w:val="19"/>
              </w:rPr>
              <w:t xml:space="preserve">Signature</w:t>
            </w:r>
          </w:p>
        </w:tc>
        <w:tc>
          <w:tcPr>
            <w:tcW w:type="dxa" w:w="3460"/>
            <w:tcMar>
              <w:top w:type="dxa" w:w="90"/>
              <w:left w:type="dxa" w:w="120"/>
              <w:bottom w:type="dxa" w:w="90"/>
              <w:right w:type="dxa" w:w="120"/>
            </w:tcMar>
          </w:tcPr>
          <w:p>
            <w:r>
              <w:rPr>
                <w:rFonts w:ascii="Calibri" w:cs="Calibri" w:eastAsia="Calibri" w:hAnsi="Calibri"/>
                <w:b w:val="false"/>
                <w:bCs w:val="false"/>
                <w:color w:val="535C69"/>
                <w:sz w:val="19"/>
                <w:szCs w:val="19"/>
              </w:rPr>
              <w:t xml:space="preserve"/>
            </w:r>
          </w:p>
        </w:tc>
      </w:tr>
    </w:tbl>
    <w:p>
      <w:r>
        <w:br w:type="page"/>
      </w:r>
    </w:p>
    <w:p>
      <w:pPr>
        <w:pStyle w:val="Heading1"/>
        <w:spacing w:after="160" w:before="360"/>
      </w:pPr>
      <w:r>
        <w:rPr>
          <w:rFonts w:ascii="Georgia" w:cs="Georgia" w:eastAsia="Georgia" w:hAnsi="Georgia"/>
          <w:b/>
          <w:bCs/>
          <w:color w:val="14181D"/>
          <w:sz w:val="30"/>
          <w:szCs w:val="30"/>
        </w:rPr>
        <w:t xml:space="preserve">Appendix — How your answers map to the rating</w:t>
      </w:r>
    </w:p>
    <w:p>
      <w:pPr>
        <w:spacing w:after="120" w:before="0"/>
      </w:pPr>
      <w:r>
        <w:rPr>
          <w:rFonts w:ascii="Calibri" w:cs="Calibri" w:eastAsia="Calibri" w:hAnsi="Calibri"/>
          <w:color w:val="535C69"/>
          <w:sz w:val="20"/>
          <w:szCs w:val="20"/>
        </w:rPr>
        <w:t xml:space="preserve">Informational only. It explains which answers carry the most weight.</w:t>
      </w:r>
    </w:p>
    <w:tbl>
      <w:tblPr>
        <w:tblW w:type="dxa" w:w="9360"/>
        <w:tblBorders>
          <w:top w:val="single" w:color="D3D5D2" w:sz="6"/>
          <w:left w:val="single" w:color="D3D5D2" w:sz="6"/>
          <w:bottom w:val="single" w:color="D3D5D2" w:sz="6"/>
          <w:right w:val="single" w:color="D3D5D2" w:sz="6"/>
          <w:insideH w:val="single" w:color="D3D5D2" w:sz="6"/>
          <w:insideV w:val="single" w:color="D3D5D2" w:sz="6"/>
        </w:tblBorders>
      </w:tblPr>
      <w:tblGrid>
        <w:gridCol w:w="2100"/>
        <w:gridCol w:w="1500"/>
        <w:gridCol w:w="4560"/>
        <w:gridCol w:w="1200"/>
      </w:tblGrid>
      <w:tr>
        <w:trPr>
          <w:tblHeader/>
        </w:trPr>
        <w:tc>
          <w:tcPr>
            <w:tcW w:type="dxa" w:w="21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Questionnaire section</w:t>
            </w:r>
          </w:p>
        </w:tc>
        <w:tc>
          <w:tcPr>
            <w:tcW w:type="dxa" w:w="15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Pillar</w:t>
            </w:r>
          </w:p>
        </w:tc>
        <w:tc>
          <w:tcPr>
            <w:tcW w:type="dxa" w:w="456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Criterion</w:t>
            </w:r>
          </w:p>
        </w:tc>
        <w:tc>
          <w:tcPr>
            <w:tcW w:type="dxa" w:w="1200"/>
            <w:shd w:fill="EDEFF3" w:color="auto" w:val="clear"/>
            <w:tcMar>
              <w:top w:type="dxa" w:w="90"/>
              <w:left w:type="dxa" w:w="120"/>
              <w:bottom w:type="dxa" w:w="90"/>
              <w:right w:type="dxa" w:w="120"/>
            </w:tcMar>
          </w:tcPr>
          <w:p>
            <w:r>
              <w:rPr>
                <w:rFonts w:ascii="Calibri" w:cs="Calibri" w:eastAsia="Calibri" w:hAnsi="Calibri"/>
                <w:b/>
                <w:bCs/>
                <w:color w:val="14181D"/>
                <w:sz w:val="17"/>
                <w:szCs w:val="17"/>
              </w:rPr>
              <w:t xml:space="preserve">Range</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1.1, 1.2, 1.3</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Issuer</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Social</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1.4</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Issuer</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Decentralisation</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2.1</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Asset</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Asset class</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2.2, 2.4, 2.5</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Asset</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Technical (admin capabilities, governance security)</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2.6</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Asset</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Reserves auditability</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2.3, 3.1</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Operational</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Lindy</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3.2</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Operational</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Audits</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3.3</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Operational</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Bug bounty</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3.4</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Operational</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External ratings</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3.5</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Operational</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Peer reviews</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1–6</w:t>
            </w:r>
          </w:p>
        </w:tc>
      </w:tr>
      <w:tr>
        <w:tc>
          <w:tcPr>
            <w:tcW w:type="dxa" w:w="2100"/>
            <w:tcMar>
              <w:top w:type="dxa" w:w="90"/>
              <w:left w:type="dxa" w:w="120"/>
              <w:bottom w:type="dxa" w:w="90"/>
              <w:right w:type="dxa" w:w="120"/>
            </w:tcMar>
          </w:tcPr>
          <w:p>
            <w:r>
              <w:rPr>
                <w:rFonts w:ascii="Calibri" w:cs="Calibri" w:eastAsia="Calibri" w:hAnsi="Calibri"/>
                <w:b w:val="false"/>
                <w:bCs w:val="false"/>
                <w:color w:val="535C69"/>
                <w:sz w:val="19"/>
                <w:szCs w:val="19"/>
              </w:rPr>
              <w:t xml:space="preserve">3.6</w:t>
            </w:r>
          </w:p>
        </w:tc>
        <w:tc>
          <w:tcPr>
            <w:tcW w:type="dxa" w:w="1500"/>
            <w:tcMar>
              <w:top w:type="dxa" w:w="90"/>
              <w:left w:type="dxa" w:w="120"/>
              <w:bottom w:type="dxa" w:w="90"/>
              <w:right w:type="dxa" w:w="120"/>
            </w:tcMar>
          </w:tcPr>
          <w:p>
            <w:r>
              <w:rPr>
                <w:rFonts w:ascii="Calibri" w:cs="Calibri" w:eastAsia="Calibri" w:hAnsi="Calibri"/>
                <w:b w:val="false"/>
                <w:bCs w:val="false"/>
                <w:color w:val="535C69"/>
                <w:sz w:val="19"/>
                <w:szCs w:val="19"/>
              </w:rPr>
              <w:t xml:space="preserve">All pillars</w:t>
            </w:r>
          </w:p>
        </w:tc>
        <w:tc>
          <w:tcPr>
            <w:tcW w:type="dxa" w:w="4560"/>
            <w:tcMar>
              <w:top w:type="dxa" w:w="90"/>
              <w:left w:type="dxa" w:w="120"/>
              <w:bottom w:type="dxa" w:w="90"/>
              <w:right w:type="dxa" w:w="120"/>
            </w:tcMar>
          </w:tcPr>
          <w:p>
            <w:r>
              <w:rPr>
                <w:rFonts w:ascii="Calibri" w:cs="Calibri" w:eastAsia="Calibri" w:hAnsi="Calibri"/>
                <w:b w:val="false"/>
                <w:bCs w:val="false"/>
                <w:color w:val="535C69"/>
                <w:sz w:val="19"/>
                <w:szCs w:val="19"/>
              </w:rPr>
              <w:t xml:space="preserve">Cross-cutting: incidents trigger downgrades</w:t>
            </w:r>
          </w:p>
        </w:tc>
        <w:tc>
          <w:tcPr>
            <w:tcW w:type="dxa" w:w="1200"/>
            <w:tcMar>
              <w:top w:type="dxa" w:w="90"/>
              <w:left w:type="dxa" w:w="120"/>
              <w:bottom w:type="dxa" w:w="90"/>
              <w:right w:type="dxa" w:w="120"/>
            </w:tcMar>
          </w:tcPr>
          <w:p>
            <w:r>
              <w:rPr>
                <w:rFonts w:ascii="Calibri" w:cs="Calibri" w:eastAsia="Calibri" w:hAnsi="Calibri"/>
                <w:b w:val="false"/>
                <w:bCs w:val="false"/>
                <w:color w:val="535C69"/>
                <w:sz w:val="19"/>
                <w:szCs w:val="19"/>
              </w:rPr>
              <w:t xml:space="preserve">—</w:t>
            </w:r>
          </w:p>
        </w:tc>
      </w:tr>
    </w:tbl>
    <w:p>
      <w:pPr>
        <w:pStyle w:val="Heading2"/>
        <w:spacing w:after="120" w:before="260"/>
      </w:pPr>
      <w:r>
        <w:rPr>
          <w:rFonts w:ascii="Georgia" w:cs="Georgia" w:eastAsia="Georgia" w:hAnsi="Georgia"/>
          <w:b/>
          <w:bCs/>
          <w:color w:val="14181D"/>
          <w:sz w:val="24"/>
          <w:szCs w:val="24"/>
        </w:rPr>
        <w:t xml:space="preserve">Aggregation rules</w:t>
      </w:r>
    </w:p>
    <w:p>
      <w:pPr>
        <w:pStyle w:val="ListParagraph"/>
        <w:numPr>
          <w:ilvl w:val="0"/>
          <w:numId w:val="2"/>
        </w:numPr>
        <w:spacing w:after="80"/>
      </w:pPr>
      <w:r>
        <w:rPr>
          <w:rFonts w:ascii="Calibri" w:cs="Calibri" w:eastAsia="Calibri" w:hAnsi="Calibri"/>
          <w:color w:val="535C69"/>
          <w:sz w:val="20"/>
          <w:szCs w:val="20"/>
        </w:rPr>
        <w:t xml:space="preserve">Each criterion is rated 1 to 6.</w:t>
      </w:r>
    </w:p>
    <w:p>
      <w:pPr>
        <w:pStyle w:val="ListParagraph"/>
        <w:numPr>
          <w:ilvl w:val="0"/>
          <w:numId w:val="2"/>
        </w:numPr>
        <w:spacing w:after="80"/>
      </w:pPr>
      <w:r>
        <w:rPr>
          <w:rFonts w:ascii="Calibri" w:cs="Calibri" w:eastAsia="Calibri" w:hAnsi="Calibri"/>
          <w:color w:val="535C69"/>
          <w:sz w:val="20"/>
          <w:szCs w:val="20"/>
        </w:rPr>
        <w:t xml:space="preserve">Each pillar takes the worst of its criteria.</w:t>
      </w:r>
    </w:p>
    <w:p>
      <w:pPr>
        <w:pStyle w:val="ListParagraph"/>
        <w:numPr>
          <w:ilvl w:val="0"/>
          <w:numId w:val="2"/>
        </w:numPr>
        <w:spacing w:after="80"/>
      </w:pPr>
      <w:r>
        <w:rPr>
          <w:rFonts w:ascii="Calibri" w:cs="Calibri" w:eastAsia="Calibri" w:hAnsi="Calibri"/>
          <w:color w:val="535C69"/>
          <w:sz w:val="20"/>
          <w:szCs w:val="20"/>
        </w:rPr>
        <w:t xml:space="preserve">The Asset Rating is the worst of the three pillar grades.</w:t>
      </w:r>
    </w:p>
    <w:p>
      <w:pPr>
        <w:pStyle w:val="ListParagraph"/>
        <w:numPr>
          <w:ilvl w:val="0"/>
          <w:numId w:val="2"/>
        </w:numPr>
        <w:spacing w:after="80"/>
      </w:pPr>
      <w:r>
        <w:rPr>
          <w:rFonts w:ascii="Calibri" w:cs="Calibri" w:eastAsia="Calibri" w:hAnsi="Calibri"/>
          <w:color w:val="535C69"/>
          <w:sz w:val="20"/>
          <w:szCs w:val="20"/>
        </w:rPr>
        <w:t xml:space="preserve">A single criterion graded 1 or 2 caps the Asset Rating at C.</w:t>
      </w:r>
    </w:p>
    <w:p>
      <w:pPr>
        <w:pStyle w:val="ListParagraph"/>
        <w:numPr>
          <w:ilvl w:val="0"/>
          <w:numId w:val="2"/>
        </w:numPr>
        <w:spacing w:after="80"/>
      </w:pPr>
      <w:r>
        <w:rPr>
          <w:rFonts w:ascii="Calibri" w:cs="Calibri" w:eastAsia="Calibri" w:hAnsi="Calibri"/>
          <w:color w:val="535C69"/>
          <w:sz w:val="20"/>
          <w:szCs w:val="20"/>
        </w:rPr>
        <w:t xml:space="preserve">Two or more such criteria across different pillars trigger a red flag, which can lower the overall rating one further notch.</w:t>
      </w:r>
    </w:p>
    <w:p>
      <w:pPr>
        <w:pStyle w:val="ListParagraph"/>
        <w:numPr>
          <w:ilvl w:val="0"/>
          <w:numId w:val="2"/>
        </w:numPr>
        <w:spacing w:after="80"/>
      </w:pPr>
      <w:r>
        <w:rPr>
          <w:rFonts w:ascii="Calibri" w:cs="Calibri" w:eastAsia="Calibri" w:hAnsi="Calibri"/>
          <w:color w:val="535C69"/>
          <w:sz w:val="20"/>
          <w:szCs w:val="20"/>
        </w:rPr>
        <w:t xml:space="preserve">Material non-disclosure of an incident is an automatic red flag.</w:t>
      </w:r>
    </w:p>
    <w:p>
      <w:pPr>
        <w:pStyle w:val="Heading2"/>
        <w:spacing w:after="120" w:before="260"/>
      </w:pPr>
      <w:r>
        <w:rPr>
          <w:rFonts w:ascii="Georgia" w:cs="Georgia" w:eastAsia="Georgia" w:hAnsi="Georgia"/>
          <w:b/>
          <w:bCs/>
          <w:color w:val="14181D"/>
          <w:sz w:val="24"/>
          <w:szCs w:val="24"/>
        </w:rPr>
        <w:t xml:space="preserve">Tips for a good submission</w:t>
      </w:r>
    </w:p>
    <w:p>
      <w:pPr>
        <w:pStyle w:val="ListParagraph"/>
        <w:numPr>
          <w:ilvl w:val="0"/>
          <w:numId w:val="2"/>
        </w:numPr>
        <w:spacing w:after="80"/>
      </w:pPr>
      <w:r>
        <w:rPr>
          <w:rFonts w:ascii="Calibri" w:cs="Calibri" w:eastAsia="Calibri" w:hAnsi="Calibri"/>
          <w:color w:val="535C69"/>
          <w:sz w:val="20"/>
          <w:szCs w:val="20"/>
        </w:rPr>
        <w:t xml:space="preserve">Give primary sources wherever possible. "Trust me" is not an answer we accept.</w:t>
      </w:r>
    </w:p>
    <w:p>
      <w:pPr>
        <w:pStyle w:val="ListParagraph"/>
        <w:numPr>
          <w:ilvl w:val="0"/>
          <w:numId w:val="2"/>
        </w:numPr>
        <w:spacing w:after="80"/>
      </w:pPr>
      <w:r>
        <w:rPr>
          <w:rFonts w:ascii="Calibri" w:cs="Calibri" w:eastAsia="Calibri" w:hAnsi="Calibri"/>
          <w:color w:val="535C69"/>
          <w:sz w:val="20"/>
          <w:szCs w:val="20"/>
        </w:rPr>
        <w:t xml:space="preserve">Be exhaustive on the contract inventory. A missing contract usually becomes a finding during review.</w:t>
      </w:r>
    </w:p>
    <w:p>
      <w:pPr>
        <w:pStyle w:val="ListParagraph"/>
        <w:numPr>
          <w:ilvl w:val="0"/>
          <w:numId w:val="2"/>
        </w:numPr>
        <w:spacing w:after="80"/>
      </w:pPr>
      <w:r>
        <w:rPr>
          <w:rFonts w:ascii="Calibri" w:cs="Calibri" w:eastAsia="Calibri" w:hAnsi="Calibri"/>
          <w:color w:val="535C69"/>
          <w:sz w:val="20"/>
          <w:szCs w:val="20"/>
        </w:rPr>
        <w:t xml:space="preserve">Be conservative on dates. We verify them against onchain data; understatement is fine, overstatement is a red flag.</w:t>
      </w:r>
    </w:p>
    <w:p>
      <w:pPr>
        <w:pStyle w:val="ListParagraph"/>
        <w:numPr>
          <w:ilvl w:val="0"/>
          <w:numId w:val="2"/>
        </w:numPr>
        <w:spacing w:after="80"/>
      </w:pPr>
      <w:r>
        <w:rPr>
          <w:rFonts w:ascii="Calibri" w:cs="Calibri" w:eastAsia="Calibri" w:hAnsi="Calibri"/>
          <w:color w:val="535C69"/>
          <w:sz w:val="20"/>
          <w:szCs w:val="20"/>
        </w:rPr>
        <w:t xml:space="preserve">Disclose acknowledged-without-fix audit findings. We read the PDFs anyway, so it is better to give them context.</w:t>
      </w:r>
    </w:p>
    <w:p>
      <w:pPr>
        <w:pStyle w:val="ListParagraph"/>
        <w:numPr>
          <w:ilvl w:val="0"/>
          <w:numId w:val="2"/>
        </w:numPr>
        <w:spacing w:after="80"/>
      </w:pPr>
      <w:r>
        <w:rPr>
          <w:rFonts w:ascii="Calibri" w:cs="Calibri" w:eastAsia="Calibri" w:hAnsi="Calibri"/>
          <w:color w:val="535C69"/>
          <w:sz w:val="20"/>
          <w:szCs w:val="20"/>
        </w:rPr>
        <w:t xml:space="preserve">If your asset is too new to satisfy several criteria, say so frankly. We have a path for new assets through partner mandates.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2026-08-31T16:39:27.994Z</dcterms:created>
  <dcterms:modified xsi:type="dcterms:W3CDTF">2026-08-31T16:39:28.007Z</dcterms:modified>
</cp:coreProperties>
</file>

<file path=docProps/custom.xml><?xml version="1.0" encoding="utf-8"?>
<Properties xmlns="http://schemas.openxmlformats.org/officeDocument/2006/custom-properties" xmlns:vt="http://schemas.openxmlformats.org/officeDocument/2006/docPropsVTypes"/>
</file>